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Ноутбук Lenovo IdeaPad1 15ALC7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(відповідно до пункту 41 постанови КМУ від 11.10.2016 № 710 </w:t>
        <w:br w:type="textWrapping"/>
        <w:t xml:space="preserve">«Про ефективне використання державних коштів» (зі змінами))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3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5"/>
        <w:gridCol w:w="2790"/>
        <w:gridCol w:w="5790"/>
        <w:tblGridChange w:id="0">
          <w:tblGrid>
            <w:gridCol w:w="645"/>
            <w:gridCol w:w="2790"/>
            <w:gridCol w:w="579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Замовник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Національний музей Голодомору-геноциду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Адреса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01015 м. Київ, вул. Лаврська, 3.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Процедура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Спрощена закупівля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Ідентифікатор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UA-2025-05-20-010226-a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firstLine="141.7322834645671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Ноутбук Lenovo IdeaPad1 15ALC7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або еквівалент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ДК 021:2015: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Style w:val="Heading1"/>
              <w:shd w:fill="ffffff" w:val="clear"/>
              <w:spacing w:after="0" w:before="0"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fb476swqu6r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30210000-4 “Машини для обробки даних (апаратна частина)”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Ця закупівля здійснюється в рамках проекту «Історія, збережена в “цифрі”» Національного музею Голодомору-геноциду з метою належного виконання умов Договору № 02-12-2024 про надання гранту від 04 грудня 2024 року Німецьким культурним центром «Гете-Інститут» при посольстві Федеративної Республіки Німеччини.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Загальною метою є вибір такого ноутбука, який забезпечує оптимальну продуктивність, мобільність, можливість зберігати та обробляти великі об’ємні файли, енергоємна батарея і все це в рамках доступного бюджету. Lenovo IdeaPad 1 15ALC7 відповідає цим параметрам, або еквівалент.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- 1 штука.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 постачання: до 20 червня 2025 року.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 України «Про публічні закупівлі» № 922-VIII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від 25.12.2015 року (зі змінами)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sz w:val="24"/>
                  <w:szCs w:val="24"/>
                  <w:u w:val="single"/>
                  <w:rtl w:val="0"/>
                </w:rPr>
                <w:t xml:space="preserve">https://zakon.rada.gov.ua/laws/show/922-19#Text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Постанова Кабінету Міністрів України 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(зі змінами) (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sz w:val="24"/>
                  <w:szCs w:val="24"/>
                  <w:u w:val="single"/>
                  <w:rtl w:val="0"/>
                </w:rPr>
                <w:t xml:space="preserve">https://zakon.rada.gov.ua/laws/show/1178-2022-%D0%BF#Text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283.4645669291342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Цивільний кодекс України 16.01.2003 № 435-IV (зі змінами) (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d0d0d"/>
                  <w:sz w:val="24"/>
                  <w:szCs w:val="24"/>
                  <w:u w:val="single"/>
                  <w:rtl w:val="0"/>
                </w:rPr>
                <w:t xml:space="preserve">https://zakon.rada.gov.ua/laws/show/435-15#Text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240" w:line="276" w:lineRule="auto"/>
              <w:ind w:firstLine="283.46456692913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d0d0d"/>
                <w:sz w:val="24"/>
                <w:szCs w:val="24"/>
                <w:rtl w:val="0"/>
              </w:rPr>
              <w:t xml:space="preserve">Наказ Міністерства розвитку економіки, торгівлі та сільсько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 господарства України 18.02.2020  № 275 (зі змінами) «Про затвердження примірної методики визначення очікуваної вартості предмета закупівлі» (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https://zakon.rada.gov.ua/rada/show/v0275915-20#Text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розміру бюджетного призначення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Розмір бюджетного призначення, визначений відповідно до грантового кошторису на 2025 рік.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 економічної класифікації видатків бюджету (КЕКВ)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3110 Придбання обладнання і предметів довгострокового користування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27 000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,00 грн з ПДВ.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Обґрунтування очікуваної вартості предмета закупівлі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Уповноважена особа</w:t>
        <w:tab/>
        <w:tab/>
        <w:tab/>
        <w:tab/>
        <w:tab/>
        <w:tab/>
        <w:t xml:space="preserve">Інна ОГІЄВСЬКА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питань публічних закупівель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418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01125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01125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zakon.rada.gov.ua/rada/show/v0275915-20#Text" TargetMode="External"/><Relationship Id="rId9" Type="http://schemas.openxmlformats.org/officeDocument/2006/relationships/hyperlink" Target="https://zakon.rada.gov.ua/laws/show/435-15#Tex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922-19#Text" TargetMode="External"/><Relationship Id="rId8" Type="http://schemas.openxmlformats.org/officeDocument/2006/relationships/hyperlink" Target="https://zakon.rada.gov.ua/laws/show/1178-2022-%D0%BF#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BEnB5jW+iP6dECp08M5nbAEOjQ==">CgMxLjAyDmguZ2ZiNDc2c3dxdTZyOAByITFZTzNnOF85NlRBcXRVbnRTR05pQl9jX1RrUXJpUGVqcg==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2024-08-20T10:47:00Z</dcterms:created>
  <dc:creator>User2</dc:creator>
</cp:coreProperties>
</file>