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464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F1A4F" w:rsidRDefault="007F1A4F">
      <w:pPr>
        <w:pStyle w:val="1"/>
        <w:shd w:val="clear" w:color="auto" w:fill="FFFFFF"/>
        <w:spacing w:before="0" w:after="0"/>
        <w:jc w:val="center"/>
        <w:rPr>
          <w:rFonts w:ascii="HelveticaNeueBold" w:hAnsi="HelveticaNeueBold"/>
          <w:bCs/>
          <w:color w:val="000000"/>
          <w:sz w:val="20"/>
          <w:szCs w:val="20"/>
          <w:shd w:val="clear" w:color="auto" w:fill="FFFFFF"/>
          <w:lang w:val="uk-UA"/>
        </w:rPr>
      </w:pPr>
    </w:p>
    <w:p w:rsidR="005B4646" w:rsidRDefault="007F1A4F" w:rsidP="007F1A4F">
      <w:pPr>
        <w:pStyle w:val="1"/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рук книги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«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</w:rPr>
        <w:t>Передумови Голодомору: колективізація та розкуркулення на Дніпропетровщині (грудень 1929 р. - вересень 1931 р.): збірник документів та матеріалів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»</w:t>
      </w:r>
    </w:p>
    <w:p w:rsidR="007F1A4F" w:rsidRPr="007F1A4F" w:rsidRDefault="007F1A4F" w:rsidP="007F1A4F">
      <w:pPr>
        <w:rPr>
          <w:lang w:val="uk-UA"/>
        </w:rPr>
      </w:pPr>
    </w:p>
    <w:p w:rsidR="005B464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(відповідно до пункту 41 постанови КМУ від 11.10.2016 № 710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«Про ефективне використання державних коштів» (зі змінами))</w:t>
      </w:r>
    </w:p>
    <w:p w:rsidR="005B4646" w:rsidRDefault="005B4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646" w:rsidRDefault="005B4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922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790"/>
        <w:gridCol w:w="5790"/>
      </w:tblGrid>
      <w:tr w:rsidR="005B4646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Національний музей Голодомору-геноциду </w:t>
            </w:r>
          </w:p>
        </w:tc>
      </w:tr>
      <w:tr w:rsidR="005B4646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01015 м. Київ, вул. Лаврська, 3.</w:t>
            </w:r>
          </w:p>
        </w:tc>
      </w:tr>
      <w:tr w:rsidR="005B4646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з особливостями.</w:t>
            </w:r>
          </w:p>
        </w:tc>
      </w:tr>
      <w:tr w:rsidR="005B4646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UA-2025-07-10-009260-a</w:t>
            </w:r>
          </w:p>
        </w:tc>
      </w:tr>
      <w:tr w:rsidR="005B4646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предмета закупівлі із зазначенням коду за Єдиним закупівельним словником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Друк книги “Передумови Голодомору: колективізація та розкуркулення на Дніпропетровщині (грудень 1929 р. - вересень 1931 р.) : збірник документів та матеріалів”</w:t>
            </w:r>
          </w:p>
        </w:tc>
      </w:tr>
      <w:tr w:rsidR="005B4646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ДК 021:2015: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79810000-5 Друкарські послуги</w:t>
            </w:r>
          </w:p>
        </w:tc>
      </w:tr>
      <w:tr w:rsidR="005B4646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розрахована на науковців, викладачів, студентів та всіх, хто цікавиться історією України XX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аграрною історією, історичним краєзнавством. До збірника включено документи та матеріали, які висвітлюють передумови Голодомору на Дніпропетровщині: механізми реалізації політики суцільної колективізації та розкуркулення. Документи характеризують соціальні настрої селян і форми спротиву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насильниькій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колективізації. Більшість представлених документів зберігалася під грифом «Таємно» та після розсекречування публікується вперше.</w:t>
            </w:r>
          </w:p>
          <w:p w:rsidR="005B464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надання послуг: друк та доставка готової продукції (100 примірників).</w:t>
            </w:r>
          </w:p>
          <w:p w:rsidR="005B464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постачання: до 22 вересня 2025 року.</w:t>
            </w:r>
          </w:p>
          <w:p w:rsidR="005B464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© Національний музей Голодомору-геноциду 2025. </w:t>
            </w:r>
          </w:p>
          <w:p w:rsidR="005B4646" w:rsidRDefault="005B464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64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 України «Про публічні закупівлі» № 922-VIII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від 25.12.2015 року (зі змінами) (</w:t>
            </w:r>
            <w:hyperlink r:id="rId5" w:anchor="Text">
              <w:r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u w:val="single"/>
                </w:rPr>
                <w:t>https://zakon.rada.gov.ua/laws/show/922-19#Text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).</w:t>
            </w:r>
          </w:p>
          <w:p w:rsidR="005B4646" w:rsidRDefault="005B464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5B464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Постанова Кабінету Міністрів України  від 12 жовтня 2022 р. № 1178 «Про затвердження особливостей здійснення публічних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 (</w:t>
            </w:r>
            <w:hyperlink r:id="rId6" w:anchor="Text">
              <w:r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u w:val="single"/>
                </w:rPr>
                <w:t>https://zakon.rada.gov.ua/laws/show/1178-2022-%D0%BF#Text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).</w:t>
            </w:r>
          </w:p>
          <w:p w:rsidR="005B4646" w:rsidRDefault="005B464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5B464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Цивільний кодекс України 16.01.2003 № 435-IV (зі змінами) (</w:t>
            </w:r>
            <w:hyperlink r:id="rId7" w:anchor="Text">
              <w:r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u w:val="single"/>
                </w:rPr>
                <w:t>https://zakon.rada.gov.ua/laws/show/435-15#Text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). </w:t>
            </w:r>
          </w:p>
          <w:p w:rsidR="005B4646" w:rsidRDefault="005B464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5B464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Закон України «Про авторське право і суміжні права» 1 грудня 2022 року № 2811-IX (зі змінами) (</w:t>
            </w:r>
            <w:hyperlink r:id="rId8" w:anchor="Text">
              <w:r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u w:val="single"/>
                </w:rPr>
                <w:t>https://zakon.rada.gov.ua/laws/show/2811-20#Text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).</w:t>
            </w:r>
          </w:p>
          <w:p w:rsidR="005B4646" w:rsidRDefault="0000000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Наказ Міністерства розвитку економіки, торгівлі та сільсько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господарства України 18.02.2020  № 275 (зі змінами) «Про затвердження примірної методики визначення очікуваної вартості предмета закупівлі» (</w:t>
            </w:r>
            <w:hyperlink r:id="rId9" w:anchor="Text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https://zakon.rada.gov.ua/rada/show/v0275915-20#Text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B4646" w:rsidRDefault="005B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46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Розмір бюджетного призначення, визначений відповідно до кошторису на 2025 рік. </w:t>
            </w:r>
          </w:p>
          <w:p w:rsidR="005B464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 видатків бюджету (КЕКВ) 2210 (Предмети, матеріали, обладнання та інвентар).</w:t>
            </w:r>
          </w:p>
        </w:tc>
      </w:tr>
      <w:tr w:rsidR="005B4646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 грн з ПДВ.</w:t>
            </w:r>
          </w:p>
        </w:tc>
      </w:tr>
      <w:tr w:rsidR="005B4646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очікуваної вартості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5B46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та виходячи із попередніх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аналогічних товарів.</w:t>
            </w:r>
          </w:p>
        </w:tc>
      </w:tr>
    </w:tbl>
    <w:p w:rsidR="005B4646" w:rsidRDefault="005B4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4646" w:rsidRDefault="005B4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4646" w:rsidRDefault="005B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646" w:rsidRDefault="005B4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5B4646">
      <w:pgSz w:w="11906" w:h="16838"/>
      <w:pgMar w:top="1418" w:right="850" w:bottom="156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Neue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46"/>
    <w:rsid w:val="005B4646"/>
    <w:rsid w:val="007823F5"/>
    <w:rsid w:val="007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238D"/>
  <w15:docId w15:val="{CCB0F7FE-28B3-4309-A552-B7C81778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1125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125B"/>
    <w:rPr>
      <w:color w:val="605E5C"/>
      <w:shd w:val="clear" w:color="auto" w:fill="E1DFDD"/>
    </w:r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11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35-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922-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v0275915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U/NN+RuYLEBOp7MyaI5JojTA5w==">CgMxLjA4AHIhMVNvY2kwUDI1SGVKTXp1VmpGN043VU50ajFadzVDX3RI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2596</Words>
  <Characters>1481</Characters>
  <Application>Microsoft Office Word</Application>
  <DocSecurity>0</DocSecurity>
  <Lines>12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Larisa</cp:lastModifiedBy>
  <cp:revision>3</cp:revision>
  <dcterms:created xsi:type="dcterms:W3CDTF">2024-08-20T10:47:00Z</dcterms:created>
  <dcterms:modified xsi:type="dcterms:W3CDTF">2025-07-10T13:19:00Z</dcterms:modified>
</cp:coreProperties>
</file>