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ОБҐРУНТУВАННЯ 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технічних та якісних характеристик закупівлі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електричної енергії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розміру бюджетного призначення, очікуваної вартості предмета закупівлі (оприлюднюється на виконання постанови КМУ № 710 від 11.10.2016 «Про ефективне використання державних коштів» (зі змінами))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10.0" w:type="dxa"/>
        <w:jc w:val="left"/>
        <w:tblInd w:w="-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65"/>
        <w:gridCol w:w="2835"/>
        <w:gridCol w:w="2130"/>
        <w:gridCol w:w="3405"/>
        <w:gridCol w:w="3975"/>
        <w:tblGridChange w:id="0">
          <w:tblGrid>
            <w:gridCol w:w="3165"/>
            <w:gridCol w:w="2835"/>
            <w:gridCol w:w="2130"/>
            <w:gridCol w:w="3405"/>
            <w:gridCol w:w="3975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Найменування  предмета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закупівлі із зазначенням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коду ЄЗС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 та ідентифікатор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процедури закупівлі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Очікувана  вартість предмету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закупівлі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Обґрунтування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технічних та якісних</w:t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характеристик предмета закупівлі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розміру бюджетного призначення,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очікуваної вартості предмета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закупівлі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pStyle w:val="Heading2"/>
              <w:keepNext w:val="0"/>
              <w:keepLines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after="160" w:before="0" w:lineRule="auto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</w:rPr>
            </w:pPr>
            <w:bookmarkStart w:colFirst="0" w:colLast="0" w:name="_heading=h.ouu126o03wv8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Електрична енергія з послугою передачі (без урахування послуг з розподілу електричної</w:t>
            </w:r>
          </w:p>
          <w:p w:rsidR="00000000" w:rsidDel="00000000" w:rsidP="00000000" w:rsidRDefault="00000000" w:rsidRPr="00000000" w14:paraId="0000001A">
            <w:pPr>
              <w:pStyle w:val="Heading2"/>
              <w:keepNext w:val="0"/>
              <w:keepLines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after="160" w:before="0" w:lineRule="auto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енергії) на листопад – грудень 2026 р., </w:t>
            </w:r>
          </w:p>
          <w:p w:rsidR="00000000" w:rsidDel="00000000" w:rsidP="00000000" w:rsidRDefault="00000000" w:rsidRPr="00000000" w14:paraId="0000001B">
            <w:pPr>
              <w:pStyle w:val="Heading2"/>
              <w:keepNext w:val="0"/>
              <w:keepLines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after="160" w:before="0" w:lineRule="auto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</w:rPr>
            </w:pPr>
            <w:bookmarkStart w:colFirst="0" w:colLast="0" w:name="_heading=h.kqiosdmkbd6g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за кодом Єдиного закупівельного словника</w:t>
            </w:r>
          </w:p>
          <w:p w:rsidR="00000000" w:rsidDel="00000000" w:rsidP="00000000" w:rsidRDefault="00000000" w:rsidRPr="00000000" w14:paraId="0000001C">
            <w:pPr>
              <w:pStyle w:val="Heading2"/>
              <w:keepNext w:val="0"/>
              <w:keepLines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after="160" w:before="0" w:lineRule="auto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</w:rPr>
            </w:pPr>
            <w:bookmarkStart w:colFirst="0" w:colLast="0" w:name="_heading=h.j55cwq7g4ac" w:id="2"/>
            <w:bookmarkEnd w:id="2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09310000-5 – Електрична енергія за ДК 021:2015</w:t>
            </w:r>
          </w:p>
          <w:p w:rsidR="00000000" w:rsidDel="00000000" w:rsidP="00000000" w:rsidRDefault="00000000" w:rsidRPr="00000000" w14:paraId="0000001D">
            <w:pPr>
              <w:pStyle w:val="Heading2"/>
              <w:keepNext w:val="0"/>
              <w:keepLines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after="160" w:before="0" w:lineRule="auto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Замовник: Національний музей Голодомору-геноциду.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rPr>
                <w:rFonts w:ascii="Arial" w:cs="Arial" w:eastAsia="Arial" w:hAnsi="Arial"/>
                <w:color w:val="0000ff"/>
                <w:shd w:fill="f5f5f5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line="360" w:lineRule="auto"/>
              <w:rPr>
                <w:rFonts w:ascii="Arial" w:cs="Arial" w:eastAsia="Arial" w:hAnsi="Arial"/>
                <w:color w:val="242638"/>
                <w:sz w:val="24"/>
                <w:szCs w:val="24"/>
                <w:shd w:fill="f5f5f5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242638"/>
                <w:sz w:val="24"/>
                <w:szCs w:val="24"/>
                <w:shd w:fill="f5f5f5" w:val="clear"/>
                <w:rtl w:val="0"/>
              </w:rPr>
              <w:t xml:space="preserve">UA-2026-10-21-012292-a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hd w:fill="f5f5f5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242638"/>
                <w:sz w:val="48"/>
                <w:szCs w:val="48"/>
                <w:shd w:fill="f5f5f5" w:val="clear"/>
                <w:rtl w:val="0"/>
              </w:rPr>
              <w:t xml:space="preserve">·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2070d1"/>
                  <w:sz w:val="24"/>
                  <w:szCs w:val="24"/>
                  <w:shd w:fill="f5f5f5" w:val="clear"/>
                  <w:rtl w:val="0"/>
                </w:rPr>
                <w:t xml:space="preserve">2aefc448f9934c8080a657abedb5b417</w:t>
              </w:r>
            </w:hyperlink>
            <w:r w:rsidDel="00000000" w:rsidR="00000000" w:rsidRPr="00000000">
              <w:rPr>
                <w:rFonts w:ascii="Arial" w:cs="Arial" w:eastAsia="Arial" w:hAnsi="Arial"/>
                <w:shd w:fill="f5f5f5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(Запит (ціни) пропозицій)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  <w:shd w:fill="f4f7fa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97 609,96 грн з ПДВ</w:t>
            </w:r>
          </w:p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81 341,63 грн без ПДВ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Вимоги до технічних та якісних характеристик предмету закупівлі сформовані на підставі потреби Замовника на листопад - грудень 2026 рік в обсязі 10 500</w:t>
            </w:r>
            <w:sdt>
              <w:sdtPr>
                <w:id w:val="-529224452"/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highlight w:val="white"/>
                    <w:rtl w:val="0"/>
                  </w:rPr>
                  <w:t xml:space="preserve"> кВт⋅год.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Очікувана вартість Закупівлі визначена у відповідності до наказу Міністерства розвитку економіки, торгівлі та сільського господарства України від 18 лютого 2020 року №275 «Про затвердження примірної методики визначення очікуваної вартості предмета закупівлі».</w:t>
            </w:r>
          </w:p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Визначення очікуваної вартості здійснене на підставі даних ринку, а саме загальнодоступної відкритої інформації про ціни та інформації з отриманих цінових пропозицій та прайс-листів на момент вивчення ринку.   </w:t>
            </w:r>
          </w:p>
          <w:p w:rsidR="00000000" w:rsidDel="00000000" w:rsidP="00000000" w:rsidRDefault="00000000" w:rsidRPr="00000000" w14:paraId="0000002B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Розрахунок очікуваної вартості здійснено наступним чином:</w:t>
            </w:r>
          </w:p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(Цсз) середньозважена ціна електричної енергії (в грн за 1 кВт</w:t>
            </w:r>
            <w:r w:rsidDel="00000000" w:rsidR="00000000" w:rsidRPr="00000000">
              <w:rPr>
                <w:rFonts w:ascii="Cambria Math" w:cs="Cambria Math" w:eastAsia="Cambria Math" w:hAnsi="Cambria Math"/>
                <w:sz w:val="24"/>
                <w:szCs w:val="24"/>
                <w:rtl w:val="0"/>
              </w:rPr>
              <w:t xml:space="preserve">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год, без ПДВ) за результатами торгів на ринку електричної енергії «на добу наперед» за відповідний повний календарний місяць, за який здійснюється розрахунок, оприлюднена на офіційному вебсайті «Оператора ринку» (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sz w:val="24"/>
                  <w:szCs w:val="24"/>
                  <w:u w:val="single"/>
                  <w:rtl w:val="0"/>
                </w:rPr>
                <w:t xml:space="preserve">https://www.oree.com.ua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) - 6,19852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грн без ПДВ;</w:t>
              <w:tab/>
            </w:r>
          </w:p>
          <w:p w:rsidR="00000000" w:rsidDel="00000000" w:rsidP="00000000" w:rsidRDefault="00000000" w:rsidRPr="00000000" w14:paraId="0000002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(Тосп) ціна (тариф) послуг оператора системи передачі, яка встановлена Регулятором, яка діє для відповідного розрахункового періоду за 1 кВт</w:t>
            </w:r>
            <w:r w:rsidDel="00000000" w:rsidR="00000000" w:rsidRPr="00000000">
              <w:rPr>
                <w:rFonts w:ascii="Cambria Math" w:cs="Cambria Math" w:eastAsia="Cambria Math" w:hAnsi="Cambria Math"/>
                <w:sz w:val="24"/>
                <w:szCs w:val="24"/>
                <w:rtl w:val="0"/>
              </w:rPr>
              <w:t xml:space="preserve">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год – 0,92845 грн  без ПДВ;</w:t>
              <w:tab/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(Впост) розмір надбавки / знижки Постачальника за одиницю електричної енергії (розмір надбавки / знижки учасника — переможця торгів (Постачальника)  - 0,619852 грн без ПДВ;   </w:t>
              <w:tab/>
            </w:r>
          </w:p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ЦІНА за одиницю – 7,746822 грн  без ПДВ;</w:t>
            </w:r>
          </w:p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Урахування ПДВ – 1,5493644 грн  </w:t>
              <w:tab/>
            </w:r>
          </w:p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bookmarkStart w:colFirst="0" w:colLast="0" w:name="_heading=h.4y1ofd3uae0s" w:id="3"/>
            <w:bookmarkEnd w:id="3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(Цф)ЦІНА за одиницю – 9,2961864 грн з ПДВ</w:t>
              <w:tab/>
            </w:r>
          </w:p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ЗАГАЛЬНА ВАРТІСТЬ за 10 500 кВт*год – 81 341,63 грн без ПДВ / 97 609,96 грн разом з ПДВ.</w:t>
            </w:r>
          </w:p>
          <w:p w:rsidR="00000000" w:rsidDel="00000000" w:rsidP="00000000" w:rsidRDefault="00000000" w:rsidRPr="00000000" w14:paraId="00000035">
            <w:pPr>
              <w:jc w:val="both"/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bookmarkStart w:colFirst="0" w:colLast="0" w:name="_heading=h.87lbrbkq4rqj" w:id="4"/>
      <w:bookmarkEnd w:id="4"/>
      <w:r w:rsidDel="00000000" w:rsidR="00000000" w:rsidRPr="00000000">
        <w:rPr>
          <w:rtl w:val="0"/>
        </w:rPr>
      </w:r>
    </w:p>
    <w:sectPr>
      <w:pgSz w:h="11906" w:w="16838" w:orient="landscape"/>
      <w:pgMar w:bottom="850" w:top="284" w:left="850" w:right="67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Gungsuh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a6">
    <w:name w:val="Hyperlink"/>
    <w:basedOn w:val="a0"/>
    <w:uiPriority w:val="99"/>
    <w:unhideWhenUsed w:val="1"/>
    <w:rsid w:val="00166B8D"/>
    <w:rPr>
      <w:color w:val="0000ff" w:themeColor="hyperlink"/>
      <w:u w:val="singl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blic-api.prozorro.gov.ua/api/2.5/tenders/2aefc448f9934c8080a657abedb5b417" TargetMode="External"/><Relationship Id="rId8" Type="http://schemas.openxmlformats.org/officeDocument/2006/relationships/hyperlink" Target="https://www.oree.com.u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FqRwL5Z+YO+Do4UOM8KqhD4ahw==">CgMxLjAaJQoBMBIgCh4IB0IaCg9UaW1lcyBOZXcgUm9tYW4SB0d1bmdzdWgyDmgub3V1MTI2bzAzd3Y4Mg5oLmtxaW9zZG1rYmQ2ZzINaC5qNTVjd3E3ZzRhYzIOaC40eTFvZmQzdWFlMHMyDmguODdsYnJia3E0cnFqOAByITFqZjZwdmdWc3hSZ2RicTBzQ0dsbnFOOU9iUXFuZXc3cw==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2025-12-23T14:50:00Z</dcterms:created>
  <dc:creator>Наталія Ревуцька</dc:creator>
</cp:coreProperties>
</file>